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13AFE1">
      <w:pPr>
        <w:spacing w:after="0" w:line="240" w:lineRule="auto"/>
        <w:jc w:val="center"/>
      </w:pPr>
    </w:p>
    <w:p w14:paraId="668DB666">
      <w:pPr>
        <w:spacing w:before="120" w:after="120" w:line="240" w:lineRule="auto"/>
        <w:jc w:val="center"/>
        <w:rPr>
          <w:rFonts w:ascii="Arial" w:hAnsi="Arial" w:eastAsia="Times New Roman" w:cs="Arial"/>
          <w:b/>
          <w:color w:val="414141"/>
        </w:rPr>
      </w:pPr>
      <w:r>
        <w:rPr>
          <w:rFonts w:ascii="Arial" w:hAnsi="Arial" w:eastAsia="Times New Roman" w:cs="Arial"/>
          <w:b/>
          <w:color w:val="414141"/>
        </w:rPr>
        <w:t>Индивидуальный образовательный маршрут</w:t>
      </w:r>
    </w:p>
    <w:tbl>
      <w:tblPr>
        <w:tblStyle w:val="5"/>
        <w:tblW w:w="5018" w:type="pct"/>
        <w:tblInd w:w="-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3"/>
        <w:gridCol w:w="2855"/>
        <w:gridCol w:w="6780"/>
        <w:gridCol w:w="1864"/>
        <w:gridCol w:w="2322"/>
      </w:tblGrid>
      <w:tr w14:paraId="55D71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74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</w:tcPr>
          <w:p w14:paraId="52E7F6BC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color w:val="414141"/>
              </w:rPr>
            </w:pPr>
            <w:r>
              <w:rPr>
                <w:rFonts w:ascii="Arial" w:hAnsi="Arial" w:eastAsia="Times New Roman" w:cs="Arial"/>
                <w:b/>
                <w:color w:val="414141"/>
              </w:rPr>
              <w:t>ФИО (полностью)</w:t>
            </w:r>
          </w:p>
        </w:tc>
        <w:tc>
          <w:tcPr>
            <w:tcW w:w="4226" w:type="pct"/>
            <w:gridSpan w:val="4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</w:tcPr>
          <w:p w14:paraId="08748F29">
            <w:pPr>
              <w:spacing w:after="0" w:line="240" w:lineRule="auto"/>
              <w:rPr>
                <w:rFonts w:ascii="Arial" w:hAnsi="Arial" w:eastAsia="Times New Roman" w:cs="Arial"/>
                <w:i/>
              </w:rPr>
            </w:pPr>
            <w:r>
              <w:rPr>
                <w:rFonts w:ascii="Arial" w:hAnsi="Arial" w:eastAsia="Times New Roman" w:cs="Arial"/>
                <w:i/>
              </w:rPr>
              <w:t>Тункевич Инна Александровна</w:t>
            </w:r>
          </w:p>
        </w:tc>
      </w:tr>
      <w:tr w14:paraId="576CD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74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</w:tcPr>
          <w:p w14:paraId="3E465FC8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color w:val="414141"/>
              </w:rPr>
            </w:pPr>
            <w:r>
              <w:rPr>
                <w:rFonts w:ascii="Arial" w:hAnsi="Arial" w:eastAsia="Times New Roman" w:cs="Arial"/>
                <w:b/>
                <w:color w:val="414141"/>
              </w:rPr>
              <w:t>Муниципалитет</w:t>
            </w:r>
          </w:p>
        </w:tc>
        <w:tc>
          <w:tcPr>
            <w:tcW w:w="4226" w:type="pct"/>
            <w:gridSpan w:val="4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</w:tcPr>
          <w:p w14:paraId="3CFC0144">
            <w:pPr>
              <w:spacing w:after="0" w:line="240" w:lineRule="auto"/>
              <w:rPr>
                <w:rFonts w:ascii="Arial" w:hAnsi="Arial" w:eastAsia="Times New Roman" w:cs="Arial"/>
              </w:rPr>
            </w:pPr>
            <w:r>
              <w:rPr>
                <w:rFonts w:ascii="Arial" w:hAnsi="Arial" w:eastAsia="Times New Roman" w:cs="Arial"/>
                <w:i/>
              </w:rPr>
              <w:t>г. Дивногорск</w:t>
            </w:r>
          </w:p>
        </w:tc>
      </w:tr>
      <w:tr w14:paraId="07E34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74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6833AC7E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color w:val="414141"/>
              </w:rPr>
            </w:pPr>
            <w:r>
              <w:rPr>
                <w:rFonts w:ascii="Arial" w:hAnsi="Arial" w:eastAsia="Times New Roman" w:cs="Arial"/>
                <w:b/>
                <w:color w:val="414141"/>
              </w:rPr>
              <w:t>Организация</w:t>
            </w:r>
          </w:p>
        </w:tc>
        <w:tc>
          <w:tcPr>
            <w:tcW w:w="4226" w:type="pct"/>
            <w:gridSpan w:val="4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55F45291">
            <w:pPr>
              <w:spacing w:after="0" w:line="240" w:lineRule="auto"/>
              <w:rPr>
                <w:rFonts w:ascii="Arial" w:hAnsi="Arial" w:eastAsia="Times New Roman" w:cs="Arial"/>
                <w:u w:val="single"/>
              </w:rPr>
            </w:pPr>
            <w:r>
              <w:rPr>
                <w:rFonts w:ascii="Arial" w:hAnsi="Arial" w:eastAsia="Times New Roman" w:cs="Arial"/>
                <w:i/>
                <w:color w:val="000000" w:themeColor="text1"/>
                <w:sz w:val="24"/>
                <w:szCs w:val="21"/>
              </w:rPr>
              <w:t>Муниципальное бюджетное общеобразовательное учреждение средняя общеобразовательная школа №9</w:t>
            </w:r>
          </w:p>
        </w:tc>
      </w:tr>
      <w:tr w14:paraId="2BCB5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74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33D1F586">
            <w:pPr>
              <w:spacing w:before="100" w:beforeAutospacing="1" w:after="100" w:afterAutospacing="1" w:line="240" w:lineRule="auto"/>
              <w:rPr>
                <w:rFonts w:ascii="Arial" w:hAnsi="Arial" w:eastAsia="Times New Roman" w:cs="Arial"/>
                <w:b/>
                <w:color w:val="414141"/>
              </w:rPr>
            </w:pPr>
            <w:r>
              <w:rPr>
                <w:rFonts w:ascii="Arial" w:hAnsi="Arial" w:eastAsia="Times New Roman" w:cs="Arial"/>
                <w:b/>
                <w:color w:val="414141"/>
              </w:rPr>
              <w:t>Должность</w:t>
            </w:r>
          </w:p>
        </w:tc>
        <w:tc>
          <w:tcPr>
            <w:tcW w:w="4226" w:type="pct"/>
            <w:gridSpan w:val="4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7D12F705">
            <w:pPr>
              <w:spacing w:after="0" w:line="240" w:lineRule="auto"/>
              <w:rPr>
                <w:rFonts w:ascii="Arial" w:hAnsi="Arial" w:eastAsia="Times New Roman" w:cs="Arial"/>
              </w:rPr>
            </w:pPr>
            <w:r>
              <w:rPr>
                <w:rFonts w:ascii="Arial" w:hAnsi="Arial" w:eastAsia="Times New Roman" w:cs="Arial"/>
                <w:i/>
              </w:rPr>
              <w:t>учитель</w:t>
            </w:r>
          </w:p>
        </w:tc>
      </w:tr>
      <w:tr w14:paraId="686CB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74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</w:tcPr>
          <w:p w14:paraId="66AA5A34">
            <w:pPr>
              <w:spacing w:before="100" w:beforeAutospacing="1" w:after="100" w:afterAutospacing="1" w:line="240" w:lineRule="auto"/>
              <w:ind w:left="-224"/>
              <w:jc w:val="center"/>
              <w:rPr>
                <w:rFonts w:ascii="Arial" w:hAnsi="Arial" w:eastAsia="Times New Roman" w:cs="Arial"/>
                <w:b/>
                <w:color w:val="414141"/>
              </w:rPr>
            </w:pPr>
            <w:r>
              <w:rPr>
                <w:rFonts w:ascii="Arial" w:hAnsi="Arial" w:eastAsia="Times New Roman" w:cs="Arial"/>
                <w:b/>
                <w:color w:val="414141"/>
              </w:rPr>
              <w:t>Профессиональный дефицит / Задача на предстоящий период</w:t>
            </w:r>
          </w:p>
        </w:tc>
        <w:tc>
          <w:tcPr>
            <w:tcW w:w="873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</w:tcPr>
          <w:p w14:paraId="4AC565B8"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b/>
                <w:color w:val="414141"/>
              </w:rPr>
            </w:pPr>
            <w:r>
              <w:rPr>
                <w:rFonts w:ascii="Arial" w:hAnsi="Arial" w:eastAsia="Times New Roman" w:cs="Arial"/>
                <w:b/>
                <w:color w:val="414141"/>
              </w:rPr>
              <w:t>Образовательные задачи</w:t>
            </w:r>
          </w:p>
        </w:tc>
        <w:tc>
          <w:tcPr>
            <w:tcW w:w="2073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</w:tcPr>
          <w:p w14:paraId="245C2B5E"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b/>
                <w:color w:val="414141"/>
              </w:rPr>
            </w:pPr>
            <w:r>
              <w:rPr>
                <w:rFonts w:ascii="Arial" w:hAnsi="Arial" w:eastAsia="Times New Roman" w:cs="Arial"/>
                <w:b/>
                <w:color w:val="414141"/>
              </w:rPr>
              <w:t>Формы работы/ взаимодействия по реализации образовательных задач</w:t>
            </w:r>
          </w:p>
        </w:tc>
        <w:tc>
          <w:tcPr>
            <w:tcW w:w="570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</w:tcPr>
          <w:p w14:paraId="1A55C289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414141"/>
              </w:rPr>
            </w:pPr>
            <w:r>
              <w:rPr>
                <w:rFonts w:ascii="Arial" w:hAnsi="Arial" w:eastAsia="Times New Roman" w:cs="Arial"/>
                <w:b/>
                <w:color w:val="414141"/>
              </w:rPr>
              <w:t>Сроки реализации</w:t>
            </w:r>
          </w:p>
          <w:p w14:paraId="1C61C99F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color w:val="414141"/>
              </w:rPr>
            </w:pPr>
            <w:r>
              <w:rPr>
                <w:rFonts w:ascii="Arial" w:hAnsi="Arial" w:eastAsia="Times New Roman" w:cs="Arial"/>
                <w:color w:val="414141"/>
              </w:rPr>
              <w:t>(указать даты</w:t>
            </w:r>
            <w:r>
              <w:rPr>
                <w:rFonts w:ascii="Arial" w:hAnsi="Arial" w:eastAsia="Times New Roman" w:cs="Arial"/>
                <w:b/>
                <w:color w:val="414141"/>
              </w:rPr>
              <w:t>:</w:t>
            </w:r>
            <w:r>
              <w:rPr>
                <w:rFonts w:ascii="Arial" w:hAnsi="Arial" w:eastAsia="Times New Roman" w:cs="Arial"/>
                <w:color w:val="414141"/>
              </w:rPr>
              <w:t>месяц(ы), год)</w:t>
            </w:r>
          </w:p>
        </w:tc>
        <w:tc>
          <w:tcPr>
            <w:tcW w:w="710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</w:tcPr>
          <w:p w14:paraId="4661B92F"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b/>
                <w:color w:val="414141"/>
              </w:rPr>
            </w:pPr>
            <w:r>
              <w:rPr>
                <w:rFonts w:ascii="Arial" w:hAnsi="Arial" w:eastAsia="Times New Roman" w:cs="Arial"/>
                <w:b/>
                <w:color w:val="414141"/>
              </w:rPr>
              <w:t>Форма предъявления результата</w:t>
            </w:r>
          </w:p>
        </w:tc>
      </w:tr>
      <w:tr w14:paraId="0794C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74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01CBD2B5"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color w:val="414141"/>
              </w:rPr>
            </w:pPr>
            <w:r>
              <w:rPr>
                <w:rFonts w:ascii="Arial" w:hAnsi="Arial" w:eastAsia="Times New Roman" w:cs="Arial"/>
                <w:color w:val="414141"/>
              </w:rPr>
              <w:t>1</w:t>
            </w:r>
          </w:p>
        </w:tc>
        <w:tc>
          <w:tcPr>
            <w:tcW w:w="873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0C0C6BCC"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color w:val="414141"/>
              </w:rPr>
            </w:pPr>
            <w:r>
              <w:rPr>
                <w:rFonts w:ascii="Arial" w:hAnsi="Arial" w:eastAsia="Times New Roman" w:cs="Arial"/>
                <w:color w:val="414141"/>
              </w:rPr>
              <w:t>2</w:t>
            </w:r>
          </w:p>
        </w:tc>
        <w:tc>
          <w:tcPr>
            <w:tcW w:w="2073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744FE270"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color w:val="414141"/>
              </w:rPr>
            </w:pPr>
            <w:r>
              <w:rPr>
                <w:rFonts w:ascii="Arial" w:hAnsi="Arial" w:eastAsia="Times New Roman" w:cs="Arial"/>
                <w:color w:val="414141"/>
              </w:rPr>
              <w:t>3</w:t>
            </w:r>
          </w:p>
        </w:tc>
        <w:tc>
          <w:tcPr>
            <w:tcW w:w="570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5F56F1E0"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color w:val="414141"/>
              </w:rPr>
            </w:pPr>
            <w:r>
              <w:rPr>
                <w:rFonts w:ascii="Arial" w:hAnsi="Arial" w:eastAsia="Times New Roman" w:cs="Arial"/>
                <w:color w:val="414141"/>
              </w:rPr>
              <w:t>4</w:t>
            </w:r>
          </w:p>
        </w:tc>
        <w:tc>
          <w:tcPr>
            <w:tcW w:w="710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14ECC6AC">
            <w:pPr>
              <w:spacing w:before="100" w:beforeAutospacing="1" w:after="100" w:afterAutospacing="1" w:line="240" w:lineRule="auto"/>
              <w:jc w:val="center"/>
              <w:rPr>
                <w:rFonts w:ascii="Arial" w:hAnsi="Arial" w:eastAsia="Times New Roman" w:cs="Arial"/>
                <w:color w:val="414141"/>
              </w:rPr>
            </w:pPr>
            <w:r>
              <w:rPr>
                <w:rFonts w:ascii="Arial" w:hAnsi="Arial" w:eastAsia="Times New Roman" w:cs="Arial"/>
                <w:color w:val="414141"/>
              </w:rPr>
              <w:t>5</w:t>
            </w:r>
          </w:p>
        </w:tc>
      </w:tr>
      <w:tr w14:paraId="547EA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774" w:type="pct"/>
            <w:vMerge w:val="restar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41D2485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Повы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шение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уровня образовательных результатов   за счет использования методов и приемов  формирующего </w:t>
            </w:r>
            <w:r>
              <w:rPr>
                <w:rFonts w:ascii="Roboto" w:hAnsi="Roboto"/>
                <w:color w:val="666666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оценивания в основной школе</w:t>
            </w:r>
          </w:p>
        </w:tc>
        <w:tc>
          <w:tcPr>
            <w:tcW w:w="873" w:type="pct"/>
            <w:vMerge w:val="restar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138E3956">
            <w:pPr>
              <w:pStyle w:val="10"/>
              <w:spacing w:before="0" w:beforeAutospacing="0" w:after="0" w:afterAutospacing="0"/>
              <w:jc w:val="both"/>
            </w:pPr>
          </w:p>
          <w:p w14:paraId="71483E45">
            <w:pPr>
              <w:pStyle w:val="10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  <w:lang w:val="ru-RU"/>
              </w:rPr>
              <w:t>Продолжить</w:t>
            </w:r>
            <w:r>
              <w:rPr>
                <w:rFonts w:hint="default"/>
                <w:color w:val="000000"/>
                <w:shd w:val="clear" w:color="auto" w:fill="FFFFFF"/>
                <w:lang w:val="ru-RU"/>
              </w:rPr>
              <w:t xml:space="preserve"> изучать </w:t>
            </w:r>
            <w:r>
              <w:rPr>
                <w:color w:val="000000"/>
                <w:shd w:val="clear" w:color="auto" w:fill="FFFFFF"/>
              </w:rPr>
              <w:t xml:space="preserve"> методы и приемы </w:t>
            </w:r>
            <w:r>
              <w:rPr>
                <w:color w:val="000000"/>
                <w:shd w:val="clear" w:color="auto" w:fill="FFFFFF"/>
                <w:lang w:val="ru-RU"/>
              </w:rPr>
              <w:t>фор</w:t>
            </w:r>
            <w:r>
              <w:rPr>
                <w:color w:val="000000"/>
                <w:shd w:val="clear" w:color="auto" w:fill="FFFFFF"/>
              </w:rPr>
              <w:t>мирующего оценивания</w:t>
            </w:r>
          </w:p>
          <w:p w14:paraId="686AB419">
            <w:pPr>
              <w:pStyle w:val="10"/>
              <w:spacing w:before="0" w:beforeAutospacing="0" w:after="0" w:afterAutospacing="0"/>
              <w:jc w:val="both"/>
            </w:pPr>
          </w:p>
          <w:p w14:paraId="41962F0B">
            <w:pPr>
              <w:pStyle w:val="10"/>
              <w:spacing w:before="0" w:beforeAutospacing="0" w:after="0" w:afterAutospacing="0"/>
              <w:jc w:val="both"/>
            </w:pPr>
          </w:p>
          <w:p w14:paraId="0559C607">
            <w:pPr>
              <w:pStyle w:val="10"/>
              <w:spacing w:before="0" w:beforeAutospacing="0" w:after="0" w:afterAutospacing="0"/>
              <w:jc w:val="both"/>
            </w:pPr>
          </w:p>
          <w:p w14:paraId="1E2365C8">
            <w:pPr>
              <w:pStyle w:val="10"/>
              <w:spacing w:before="0" w:beforeAutospacing="0" w:after="0" w:afterAutospacing="0"/>
              <w:jc w:val="both"/>
            </w:pPr>
          </w:p>
          <w:p w14:paraId="6389623B">
            <w:pPr>
              <w:pStyle w:val="10"/>
              <w:spacing w:before="0" w:beforeAutospacing="0" w:after="0" w:afterAutospacing="0"/>
              <w:jc w:val="both"/>
            </w:pPr>
          </w:p>
          <w:p w14:paraId="4D18A4C6">
            <w:pPr>
              <w:pStyle w:val="10"/>
              <w:spacing w:before="0" w:beforeAutospacing="0" w:after="0" w:afterAutospacing="0"/>
              <w:jc w:val="both"/>
            </w:pPr>
          </w:p>
          <w:p w14:paraId="63FDC365">
            <w:pPr>
              <w:pStyle w:val="10"/>
              <w:spacing w:before="0" w:beforeAutospacing="0" w:after="0" w:afterAutospacing="0"/>
              <w:jc w:val="both"/>
            </w:pPr>
          </w:p>
          <w:p w14:paraId="24CFC5D0">
            <w:pPr>
              <w:pStyle w:val="10"/>
              <w:spacing w:before="0" w:beforeAutospacing="0" w:after="0" w:afterAutospacing="0"/>
              <w:jc w:val="both"/>
            </w:pPr>
          </w:p>
          <w:p w14:paraId="4CA1005E">
            <w:pPr>
              <w:pStyle w:val="10"/>
              <w:spacing w:before="0" w:beforeAutospacing="0" w:after="0" w:afterAutospacing="0"/>
              <w:jc w:val="both"/>
            </w:pPr>
          </w:p>
          <w:p w14:paraId="21F63003">
            <w:pPr>
              <w:pStyle w:val="10"/>
              <w:spacing w:before="0" w:beforeAutospacing="0" w:after="0" w:afterAutospacing="0"/>
              <w:jc w:val="both"/>
            </w:pPr>
          </w:p>
          <w:p w14:paraId="7098E195">
            <w:pPr>
              <w:pStyle w:val="10"/>
              <w:spacing w:before="0" w:beforeAutospacing="0" w:after="0" w:afterAutospacing="0"/>
              <w:jc w:val="both"/>
            </w:pPr>
          </w:p>
        </w:tc>
        <w:tc>
          <w:tcPr>
            <w:tcW w:w="2073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3C688E23">
            <w:pPr>
              <w:pStyle w:val="12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Самообразование: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14:paraId="322287CA">
            <w:pPr>
              <w:pStyle w:val="1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Пинская М.А. Формирующее оценивание: оценивание в классе: учеб. пособие / М.А. Пинская. – М.: Логос, 2010. – 264 с.</w:t>
            </w:r>
          </w:p>
          <w:p w14:paraId="33B2B872">
            <w:pPr>
              <w:pStyle w:val="1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Фишман И.С., Голуб Г.Б. Формирующая оценка образовательных результатов учащихся: Методическое пособие. – Самара: Издательство «Учебная литература», 2007.  – 244 с.</w:t>
            </w:r>
          </w:p>
          <w:p w14:paraId="77D9592D">
            <w:pPr>
              <w:pStyle w:val="12"/>
              <w:rPr>
                <w:rFonts w:ascii="Arial" w:hAnsi="Arial" w:cs="Arial"/>
              </w:rPr>
            </w:pPr>
          </w:p>
        </w:tc>
        <w:tc>
          <w:tcPr>
            <w:tcW w:w="570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41C1A794">
            <w:pPr>
              <w:spacing w:after="0" w:line="240" w:lineRule="auto"/>
              <w:rPr>
                <w:rFonts w:ascii="Arial" w:hAnsi="Arial" w:eastAsia="Times New Roman" w:cs="Arial"/>
                <w:b/>
                <w:i/>
              </w:rPr>
            </w:pPr>
          </w:p>
          <w:p w14:paraId="0B85408F">
            <w:pPr>
              <w:spacing w:after="0" w:line="240" w:lineRule="auto"/>
              <w:rPr>
                <w:rFonts w:ascii="Arial" w:hAnsi="Arial" w:eastAsia="Times New Roman" w:cs="Arial"/>
                <w:b/>
                <w:i/>
              </w:rPr>
            </w:pPr>
          </w:p>
          <w:p w14:paraId="041EA2BF">
            <w:pPr>
              <w:spacing w:after="0" w:line="240" w:lineRule="auto"/>
              <w:rPr>
                <w:rFonts w:ascii="Arial" w:hAnsi="Arial" w:eastAsia="Times New Roman" w:cs="Arial"/>
                <w:b/>
                <w:i/>
              </w:rPr>
            </w:pPr>
          </w:p>
          <w:p w14:paraId="6CAC65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14:paraId="1B379EB8">
            <w:pPr>
              <w:spacing w:after="0" w:line="240" w:lineRule="auto"/>
              <w:jc w:val="center"/>
              <w:rPr>
                <w:rFonts w:ascii="Arial" w:hAnsi="Arial" w:eastAsia="Times New Roman" w:cs="Arial"/>
                <w:i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202</w:t>
            </w:r>
            <w:r>
              <w:rPr>
                <w:rFonts w:hint="default"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5-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202</w:t>
            </w:r>
            <w:r>
              <w:rPr>
                <w:rFonts w:hint="default"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6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 xml:space="preserve"> уч. год</w:t>
            </w:r>
          </w:p>
        </w:tc>
        <w:tc>
          <w:tcPr>
            <w:tcW w:w="710" w:type="pct"/>
            <w:vMerge w:val="restar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5E3455CD">
            <w:pPr>
              <w:spacing w:after="0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Выступление на заседании ШМО на тему: </w:t>
            </w:r>
            <w:r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>Методы и приемы формирующего оценивания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  <w:p w14:paraId="4B0C35CB">
            <w:pPr>
              <w:spacing w:after="0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1CF20AE7">
            <w:pPr>
              <w:spacing w:after="0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5A30F8F4">
            <w:pPr>
              <w:spacing w:after="0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4725459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0DF1F5C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0ACA64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96A1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E1132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244133F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14:paraId="306BB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774" w:type="pct"/>
            <w:vMerge w:val="continue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0C0B273F">
            <w:pPr>
              <w:spacing w:after="0" w:line="240" w:lineRule="auto"/>
              <w:rPr>
                <w:rFonts w:ascii="Arial" w:hAnsi="Arial" w:eastAsia="Times New Roman" w:cs="Arial"/>
                <w:b/>
                <w:color w:val="414141"/>
              </w:rPr>
            </w:pPr>
          </w:p>
        </w:tc>
        <w:tc>
          <w:tcPr>
            <w:tcW w:w="873" w:type="pct"/>
            <w:vMerge w:val="continue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36D3E380">
            <w:pPr>
              <w:pStyle w:val="10"/>
              <w:spacing w:before="0" w:beforeAutospacing="0" w:after="0" w:afterAutospacing="0"/>
              <w:jc w:val="both"/>
            </w:pPr>
          </w:p>
        </w:tc>
        <w:tc>
          <w:tcPr>
            <w:tcW w:w="2073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4CCA4C05">
            <w:pPr>
              <w:pStyle w:val="12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Просмор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цикла вебинаров по теме «Технология формирующего оценивания»</w:t>
            </w:r>
          </w:p>
        </w:tc>
        <w:tc>
          <w:tcPr>
            <w:tcW w:w="570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469745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Сентябрь</w:t>
            </w:r>
            <w:r>
              <w:rPr>
                <w:rFonts w:hint="default"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октябрь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6001FB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 xml:space="preserve"> 2025 г.</w:t>
            </w:r>
          </w:p>
          <w:p w14:paraId="57352CB9">
            <w:pPr>
              <w:spacing w:after="0" w:line="240" w:lineRule="auto"/>
              <w:rPr>
                <w:rFonts w:ascii="Arial" w:hAnsi="Arial" w:eastAsia="Times New Roman" w:cs="Arial"/>
                <w:b/>
                <w:i/>
              </w:rPr>
            </w:pPr>
          </w:p>
          <w:p w14:paraId="30CF9F7B">
            <w:pPr>
              <w:spacing w:after="0" w:line="240" w:lineRule="auto"/>
              <w:rPr>
                <w:rFonts w:ascii="Arial" w:hAnsi="Arial" w:eastAsia="Times New Roman" w:cs="Arial"/>
                <w:b/>
                <w:i/>
              </w:rPr>
            </w:pPr>
          </w:p>
          <w:p w14:paraId="28451FD4">
            <w:pPr>
              <w:spacing w:after="0" w:line="240" w:lineRule="auto"/>
              <w:rPr>
                <w:rFonts w:ascii="Arial" w:hAnsi="Arial" w:eastAsia="Times New Roman" w:cs="Arial"/>
                <w:b/>
                <w:i/>
              </w:rPr>
            </w:pPr>
          </w:p>
        </w:tc>
        <w:tc>
          <w:tcPr>
            <w:tcW w:w="710" w:type="pct"/>
            <w:vMerge w:val="continue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175946B6">
            <w:pPr>
              <w:spacing w:after="0"/>
              <w:rPr>
                <w:rFonts w:ascii="Arial" w:hAnsi="Arial" w:cs="Arial"/>
              </w:rPr>
            </w:pPr>
          </w:p>
        </w:tc>
      </w:tr>
      <w:tr w14:paraId="57B09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8" w:hRule="atLeast"/>
        </w:trPr>
        <w:tc>
          <w:tcPr>
            <w:tcW w:w="774" w:type="pct"/>
            <w:vMerge w:val="continue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74F13BA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73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1F4BD892">
            <w:pPr>
              <w:pStyle w:val="10"/>
              <w:spacing w:before="0" w:beforeAutospacing="0" w:after="0" w:afterAutospacing="0"/>
              <w:jc w:val="both"/>
            </w:pPr>
            <w:r>
              <w:rPr>
                <w:rStyle w:val="14"/>
                <w:rFonts w:eastAsiaTheme="majorEastAsia"/>
                <w:color w:val="000000"/>
              </w:rPr>
              <w:t xml:space="preserve">Овладеть </w:t>
            </w:r>
            <w:r>
              <w:t xml:space="preserve">методами и приемами формирующего </w:t>
            </w:r>
            <w:r>
              <w:rPr>
                <w:rFonts w:ascii="Roboto" w:hAnsi="Roboto"/>
                <w:color w:val="666666"/>
                <w:sz w:val="30"/>
                <w:szCs w:val="30"/>
              </w:rPr>
              <w:t xml:space="preserve"> </w:t>
            </w:r>
            <w:r>
              <w:t xml:space="preserve">оценивания в процессе </w:t>
            </w:r>
          </w:p>
        </w:tc>
        <w:tc>
          <w:tcPr>
            <w:tcW w:w="2073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5417CCAF">
            <w:pPr>
              <w:pStyle w:val="1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Разработать дидактический материал «Приемы и методы формирующего оценивания»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(для параллели 7 классов по курсу «геометрия_углубленный уровень»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32E87F55">
            <w:pPr>
              <w:pStyle w:val="12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операционализировать состав предметных результатов по темам,</w:t>
            </w:r>
          </w:p>
          <w:p w14:paraId="10039F47">
            <w:pPr>
              <w:pStyle w:val="12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составить / подобрать  уровневые задания по темам, в том числе тестовые, </w:t>
            </w:r>
          </w:p>
          <w:p w14:paraId="1A313023">
            <w:pPr>
              <w:pStyle w:val="12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разработать  листы учебных достижений по темам.</w:t>
            </w:r>
          </w:p>
          <w:p w14:paraId="38691E7A">
            <w:pPr>
              <w:numPr>
                <w:ilvl w:val="1"/>
                <w:numId w:val="3"/>
              </w:numPr>
              <w:shd w:val="clear" w:color="auto" w:fill="FFFFFF"/>
              <w:spacing w:after="0" w:line="240" w:lineRule="auto"/>
              <w:ind w:left="0"/>
              <w:rPr>
                <w:rStyle w:val="8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638458E8">
            <w:pPr>
              <w:pStyle w:val="1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Использовать в работе цифровые платформу ФГИС «Моя школа» / «Тестирование обучающихся»  в качестве  инструмента для составления тестов, как один из методов формирующего оценивания.</w:t>
            </w:r>
          </w:p>
          <w:p w14:paraId="63D30834">
            <w:pPr>
              <w:numPr>
                <w:ilvl w:val="1"/>
                <w:numId w:val="3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22E8471D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 xml:space="preserve">Январь -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март</w:t>
            </w:r>
            <w:r>
              <w:rPr>
                <w:rFonts w:hint="default"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202</w:t>
            </w:r>
            <w:r>
              <w:rPr>
                <w:rFonts w:hint="default"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>6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г.</w:t>
            </w:r>
          </w:p>
        </w:tc>
        <w:tc>
          <w:tcPr>
            <w:tcW w:w="710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0F49F61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Дидактический материал «Приемы и методы формирующего оценивания».</w:t>
            </w:r>
          </w:p>
          <w:p w14:paraId="612E71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4853D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B7DBA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Обмен опытом с коллегами.</w:t>
            </w:r>
          </w:p>
          <w:p w14:paraId="53FB4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863D5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14:paraId="657F4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8" w:hRule="atLeast"/>
        </w:trPr>
        <w:tc>
          <w:tcPr>
            <w:tcW w:w="774" w:type="pct"/>
            <w:vMerge w:val="continue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4CD88AB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73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467EC013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Продолжить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недр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ть в собственную практику и методы и приёмы технологии формирующего оценивания.</w:t>
            </w:r>
          </w:p>
          <w:p w14:paraId="00A2FDB8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15B7531A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59E8CE8F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073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172154FD">
            <w:pPr>
              <w:pStyle w:val="12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Разработать технологические карты уроков для внедрения в образовательную деятельность методов и приемов формирующего оценивания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(для параллели 7 классов по курсу «геометрия_углубленный уровень»)</w:t>
            </w:r>
          </w:p>
        </w:tc>
        <w:tc>
          <w:tcPr>
            <w:tcW w:w="570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4CB388F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Февраль – май 2025</w:t>
            </w:r>
          </w:p>
        </w:tc>
        <w:tc>
          <w:tcPr>
            <w:tcW w:w="710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7FB36137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bookmarkStart w:id="0" w:name="_GoBack"/>
            <w:bookmarkEnd w:id="0"/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Технологические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карты уроков</w:t>
            </w:r>
          </w:p>
        </w:tc>
      </w:tr>
    </w:tbl>
    <w:p w14:paraId="5BE112B2">
      <w:pPr>
        <w:shd w:val="clear" w:color="auto" w:fill="FFFFFF"/>
        <w:spacing w:before="100" w:beforeAutospacing="1" w:after="100" w:afterAutospacing="1" w:line="240" w:lineRule="auto"/>
        <w:rPr>
          <w:i/>
          <w:sz w:val="28"/>
          <w:szCs w:val="28"/>
        </w:rPr>
      </w:pPr>
    </w:p>
    <w:p w14:paraId="274F6F7C"/>
    <w:sectPr>
      <w:pgSz w:w="16838" w:h="11906" w:orient="landscape"/>
      <w:pgMar w:top="142" w:right="426" w:bottom="284" w:left="56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Roboto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3F198F"/>
    <w:multiLevelType w:val="multilevel"/>
    <w:tmpl w:val="003F198F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23B92C0F"/>
    <w:multiLevelType w:val="multilevel"/>
    <w:tmpl w:val="23B92C0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352F0DC9"/>
    <w:multiLevelType w:val="multilevel"/>
    <w:tmpl w:val="352F0DC9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307CEA"/>
    <w:rsid w:val="00307CEA"/>
    <w:rsid w:val="003E11BF"/>
    <w:rsid w:val="003E38ED"/>
    <w:rsid w:val="00421AD5"/>
    <w:rsid w:val="0049339B"/>
    <w:rsid w:val="00544E0B"/>
    <w:rsid w:val="00713E36"/>
    <w:rsid w:val="007B3EDC"/>
    <w:rsid w:val="00810126"/>
    <w:rsid w:val="008F7083"/>
    <w:rsid w:val="00AC7445"/>
    <w:rsid w:val="00B55B07"/>
    <w:rsid w:val="00B76867"/>
    <w:rsid w:val="00C443ED"/>
    <w:rsid w:val="00CD7EFB"/>
    <w:rsid w:val="00F33413"/>
    <w:rsid w:val="00FF7CD1"/>
    <w:rsid w:val="59585B70"/>
    <w:rsid w:val="5CC76CD9"/>
    <w:rsid w:val="5FD5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link w:val="18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1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FollowedHyperlink"/>
    <w:basedOn w:val="4"/>
    <w:semiHidden/>
    <w:unhideWhenUsed/>
    <w:qFormat/>
    <w:uiPriority w:val="99"/>
    <w:rPr>
      <w:color w:val="800080" w:themeColor="followedHyperlink"/>
      <w:u w:val="single"/>
    </w:rPr>
  </w:style>
  <w:style w:type="character" w:styleId="7">
    <w:name w:val="Hyperlink"/>
    <w:basedOn w:val="4"/>
    <w:unhideWhenUsed/>
    <w:qFormat/>
    <w:uiPriority w:val="99"/>
    <w:rPr>
      <w:color w:val="0000FF" w:themeColor="hyperlink"/>
      <w:u w:val="single"/>
    </w:rPr>
  </w:style>
  <w:style w:type="character" w:styleId="8">
    <w:name w:val="Strong"/>
    <w:basedOn w:val="4"/>
    <w:qFormat/>
    <w:uiPriority w:val="22"/>
    <w:rPr>
      <w:b/>
      <w:bCs/>
    </w:rPr>
  </w:style>
  <w:style w:type="paragraph" w:styleId="9">
    <w:name w:val="Balloon Text"/>
    <w:basedOn w:val="1"/>
    <w:link w:val="1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0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paragraph" w:styleId="12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customStyle="1" w:styleId="13">
    <w:name w:val="c0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14">
    <w:name w:val="c4"/>
    <w:basedOn w:val="4"/>
    <w:qFormat/>
    <w:uiPriority w:val="0"/>
  </w:style>
  <w:style w:type="character" w:customStyle="1" w:styleId="15">
    <w:name w:val="dg-course__title--type"/>
    <w:basedOn w:val="4"/>
    <w:qFormat/>
    <w:uiPriority w:val="0"/>
  </w:style>
  <w:style w:type="character" w:customStyle="1" w:styleId="16">
    <w:name w:val="dg-course__title--name"/>
    <w:basedOn w:val="4"/>
    <w:qFormat/>
    <w:uiPriority w:val="0"/>
  </w:style>
  <w:style w:type="character" w:customStyle="1" w:styleId="17">
    <w:name w:val="Текст выноски Знак"/>
    <w:basedOn w:val="4"/>
    <w:link w:val="9"/>
    <w:semiHidden/>
    <w:qFormat/>
    <w:uiPriority w:val="99"/>
    <w:rPr>
      <w:rFonts w:ascii="Tahoma" w:hAnsi="Tahoma" w:cs="Tahoma" w:eastAsiaTheme="minorEastAsia"/>
      <w:sz w:val="16"/>
      <w:szCs w:val="16"/>
      <w:lang w:eastAsia="ru-RU"/>
    </w:rPr>
  </w:style>
  <w:style w:type="character" w:customStyle="1" w:styleId="18">
    <w:name w:val="Заголовок 1 Знак"/>
    <w:basedOn w:val="4"/>
    <w:link w:val="2"/>
    <w:qFormat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19">
    <w:name w:val="Заголовок 2 Знак"/>
    <w:basedOn w:val="4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AA777-D882-4921-AD3C-DFF36A30322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340</Words>
  <Characters>1938</Characters>
  <Lines>16</Lines>
  <Paragraphs>4</Paragraphs>
  <TotalTime>36</TotalTime>
  <ScaleCrop>false</ScaleCrop>
  <LinksUpToDate>false</LinksUpToDate>
  <CharactersWithSpaces>2274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2024-12-01T15:10:00Z</dcterms:created>
  <dc:creator>Инна</dc:creator>
  <cp:lastModifiedBy>Инна</cp:lastModifiedBy>
  <dcterms:modified xsi:type="dcterms:W3CDTF">2026-01-25T14:41:19Z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4966BC7FFC6947A29A7885B1A3EB16DB_12</vt:lpwstr>
  </property>
</Properties>
</file>